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673F" w14:textId="7B905F92" w:rsidR="00256767" w:rsidRPr="00DF1F8A" w:rsidRDefault="00256767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="宋体" w:eastAsia="宋体" w:hAnsi="宋体" w:cstheme="majorEastAsia"/>
          <w:b/>
          <w:color w:val="000000"/>
          <w:kern w:val="0"/>
          <w:szCs w:val="21"/>
          <w:shd w:val="clear" w:color="auto" w:fill="FFFFFF"/>
          <w:lang w:bidi="ar"/>
        </w:rPr>
      </w:pPr>
      <w:r w:rsidRPr="00DF1F8A">
        <w:rPr>
          <w:rFonts w:ascii="宋体" w:eastAsia="宋体" w:hAnsi="宋体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江苏省新型高分子功能材料工程</w:t>
      </w:r>
      <w:r w:rsidR="0054270D" w:rsidRPr="00DF1F8A">
        <w:rPr>
          <w:rFonts w:ascii="宋体" w:eastAsia="宋体" w:hAnsi="宋体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实验室</w:t>
      </w:r>
    </w:p>
    <w:p w14:paraId="1CF46103" w14:textId="00552E92" w:rsidR="00857567" w:rsidRPr="00DF1F8A" w:rsidRDefault="00EC4905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="宋体" w:eastAsia="宋体" w:hAnsi="宋体" w:cstheme="majorEastAsia"/>
          <w:b/>
          <w:color w:val="000000"/>
          <w:szCs w:val="21"/>
        </w:rPr>
      </w:pPr>
      <w:r w:rsidRPr="00DF1F8A">
        <w:rPr>
          <w:rFonts w:ascii="宋体" w:eastAsia="宋体" w:hAnsi="宋体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202</w:t>
      </w:r>
      <w:r w:rsidR="00C10FE6">
        <w:rPr>
          <w:rFonts w:ascii="宋体" w:eastAsia="宋体" w:hAnsi="宋体" w:cstheme="majorEastAsia"/>
          <w:b/>
          <w:color w:val="000000"/>
          <w:kern w:val="0"/>
          <w:szCs w:val="21"/>
          <w:shd w:val="clear" w:color="auto" w:fill="FFFFFF"/>
          <w:lang w:bidi="ar"/>
        </w:rPr>
        <w:t>3</w:t>
      </w:r>
      <w:r w:rsidRPr="00DF1F8A">
        <w:rPr>
          <w:rFonts w:ascii="宋体" w:eastAsia="宋体" w:hAnsi="宋体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年度开放课题申请指南</w:t>
      </w:r>
    </w:p>
    <w:p w14:paraId="663A5E8B" w14:textId="2B6B361E" w:rsidR="00857567" w:rsidRPr="00DF1F8A" w:rsidRDefault="00EC4905">
      <w:pPr>
        <w:pStyle w:val="a3"/>
        <w:widowControl/>
        <w:spacing w:beforeAutospacing="0" w:after="150" w:afterAutospacing="0" w:line="315" w:lineRule="atLeast"/>
        <w:ind w:firstLine="420"/>
        <w:jc w:val="center"/>
        <w:rPr>
          <w:rFonts w:ascii="宋体" w:eastAsia="宋体" w:hAnsi="宋体" w:cstheme="majorEastAsia"/>
          <w:sz w:val="21"/>
          <w:szCs w:val="21"/>
        </w:rPr>
      </w:pPr>
      <w:r w:rsidRPr="00DF1F8A">
        <w:rPr>
          <w:rFonts w:ascii="宋体" w:eastAsia="宋体" w:hAnsi="宋体" w:cstheme="majorEastAsia" w:hint="eastAsia"/>
          <w:color w:val="000000"/>
          <w:sz w:val="21"/>
          <w:szCs w:val="21"/>
          <w:shd w:val="clear" w:color="auto" w:fill="FFFFFF"/>
        </w:rPr>
        <w:t>202</w:t>
      </w:r>
      <w:r w:rsidR="00C10FE6">
        <w:rPr>
          <w:rFonts w:ascii="宋体" w:eastAsia="宋体" w:hAnsi="宋体" w:cstheme="majorEastAsia"/>
          <w:color w:val="000000"/>
          <w:sz w:val="21"/>
          <w:szCs w:val="21"/>
          <w:shd w:val="clear" w:color="auto" w:fill="FFFFFF"/>
        </w:rPr>
        <w:t>3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  <w:shd w:val="clear" w:color="auto" w:fill="FFFFFF"/>
        </w:rPr>
        <w:t>年</w:t>
      </w:r>
      <w:r w:rsidR="00C10FE6">
        <w:rPr>
          <w:rFonts w:ascii="宋体" w:eastAsia="宋体" w:hAnsi="宋体" w:cstheme="majorEastAsia"/>
          <w:color w:val="000000"/>
          <w:sz w:val="21"/>
          <w:szCs w:val="21"/>
          <w:shd w:val="clear" w:color="auto" w:fill="FFFFFF"/>
        </w:rPr>
        <w:t>11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  <w:shd w:val="clear" w:color="auto" w:fill="FFFFFF"/>
        </w:rPr>
        <w:t>月</w:t>
      </w:r>
      <w:r w:rsidR="00C10FE6">
        <w:rPr>
          <w:rFonts w:ascii="宋体" w:eastAsia="宋体" w:hAnsi="宋体" w:cstheme="majorEastAsia"/>
          <w:color w:val="000000"/>
          <w:sz w:val="21"/>
          <w:szCs w:val="21"/>
          <w:shd w:val="clear" w:color="auto" w:fill="FFFFFF"/>
        </w:rPr>
        <w:t>21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  <w:shd w:val="clear" w:color="auto" w:fill="FFFFFF"/>
        </w:rPr>
        <w:t>日</w:t>
      </w:r>
    </w:p>
    <w:p w14:paraId="6849EC03" w14:textId="09723AC7" w:rsidR="00857567" w:rsidRPr="00DF1F8A" w:rsidRDefault="00256767" w:rsidP="00EC4905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 w:firstLineChars="150" w:firstLine="315"/>
        <w:rPr>
          <w:rFonts w:ascii="宋体" w:eastAsia="宋体" w:hAnsi="宋体" w:cstheme="majorEastAsia"/>
          <w:color w:val="333333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江苏省新型高分子功能材料工程</w:t>
      </w:r>
      <w:r w:rsidR="0054270D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依托于苏州大学材料与化学化工学部，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是</w:t>
      </w:r>
      <w:proofErr w:type="gramStart"/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江苏省发改委</w:t>
      </w:r>
      <w:proofErr w:type="gramEnd"/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于2010年9月批准建立的省级工程</w:t>
      </w:r>
      <w:r w:rsidR="0054270D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，以目前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新材料发展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存在的瓶颈问题为突破重点，着重与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高效聚合方法学、精密合成技术</w:t>
      </w:r>
      <w:r w:rsidRPr="00DF1F8A">
        <w:rPr>
          <w:rFonts w:ascii="宋体" w:eastAsia="宋体" w:hAnsi="宋体" w:cstheme="majorEastAsia"/>
          <w:color w:val="333333"/>
          <w:szCs w:val="21"/>
          <w:shd w:val="clear" w:color="auto" w:fill="FFFFFF"/>
        </w:rPr>
        <w:t>；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生物表界面、药物靶向传送材料的构筑</w:t>
      </w:r>
      <w:r w:rsidRPr="00DF1F8A">
        <w:rPr>
          <w:rFonts w:ascii="宋体" w:eastAsia="宋体" w:hAnsi="宋体" w:cstheme="majorEastAsia"/>
          <w:color w:val="333333"/>
          <w:szCs w:val="21"/>
          <w:shd w:val="clear" w:color="auto" w:fill="FFFFFF"/>
        </w:rPr>
        <w:t>；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高性能聚合物复合材料的研发；燃料电池材料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的研发及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相关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关键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技术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与工艺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的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技术攻关。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江苏省新型高分子功能材料工程</w:t>
      </w:r>
      <w:r w:rsidR="0054270D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致力于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助力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建设我省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高分子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功能材料企业公共服务平台、为企业提供技术支撑、信息交流和人才培养等，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为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我省新材料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产业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的可持续发展</w:t>
      </w:r>
      <w:r w:rsidR="00997B18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提供技术支撑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。根据</w:t>
      </w:r>
      <w:r w:rsidR="00BE2142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新型高分子功能材料工程</w:t>
      </w:r>
      <w:r w:rsidR="0054270D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实验室</w:t>
      </w:r>
      <w:r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的研究方向和目标，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202</w:t>
      </w:r>
      <w:r w:rsidR="00C10FE6">
        <w:rPr>
          <w:rFonts w:ascii="宋体" w:eastAsia="宋体" w:hAnsi="宋体" w:cstheme="majorEastAsia"/>
          <w:color w:val="333333"/>
          <w:szCs w:val="21"/>
          <w:shd w:val="clear" w:color="auto" w:fill="FFFFFF"/>
        </w:rPr>
        <w:t>3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年度本</w:t>
      </w:r>
      <w:r w:rsidR="00BE2142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工程</w:t>
      </w:r>
      <w:r w:rsidR="0054270D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szCs w:val="21"/>
          <w:shd w:val="clear" w:color="auto" w:fill="FFFFFF"/>
        </w:rPr>
        <w:t>开放课题将重点资助以下研究方向：</w:t>
      </w:r>
    </w:p>
    <w:p w14:paraId="6D55FB74" w14:textId="718A9FA4" w:rsidR="00857567" w:rsidRPr="00DF1F8A" w:rsidRDefault="00900723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  <w:t>1</w:t>
      </w:r>
      <w:r w:rsidR="00EC4905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）</w:t>
      </w:r>
      <w:r w:rsidR="008F24F3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功能</w:t>
      </w:r>
      <w:r w:rsidR="00BE2142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聚合物材料</w:t>
      </w:r>
      <w:r w:rsidR="00EC4905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方向</w:t>
      </w:r>
    </w:p>
    <w:p w14:paraId="538D659E" w14:textId="1F33E527" w:rsidR="00BE2142" w:rsidRPr="00DF1F8A" w:rsidRDefault="00900723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  <w:t>2</w:t>
      </w:r>
      <w:r w:rsidR="00EC4905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）</w:t>
      </w:r>
      <w:r w:rsidR="00126D3D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能</w:t>
      </w:r>
      <w:proofErr w:type="gramStart"/>
      <w:r w:rsidR="00126D3D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源</w:t>
      </w:r>
      <w:r w:rsidR="00FE007C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材料</w:t>
      </w:r>
      <w:proofErr w:type="gramEnd"/>
      <w:r w:rsidR="00BE2142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相关方向</w:t>
      </w:r>
    </w:p>
    <w:p w14:paraId="24EADD2A" w14:textId="6CD05718" w:rsidR="00DF3F18" w:rsidRPr="00DF1F8A" w:rsidRDefault="00DF3F18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3）生物医用材料方向</w:t>
      </w:r>
    </w:p>
    <w:p w14:paraId="0F6C8F8D" w14:textId="26B06D0D" w:rsidR="00857567" w:rsidRPr="00DF1F8A" w:rsidRDefault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54270D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诚挚邀请校内外相关领域的研究人员申请</w:t>
      </w: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工程</w:t>
      </w:r>
      <w:r w:rsidR="008F24F3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开放课题。</w:t>
      </w:r>
      <w:r w:rsidR="00435049" w:rsidRPr="00BE2142">
        <w:rPr>
          <w:rFonts w:asciiTheme="majorEastAsia" w:eastAsiaTheme="majorEastAsia" w:hAnsiTheme="majorEastAsia" w:cstheme="majorEastAsia" w:hint="eastAsia"/>
          <w:color w:val="333333"/>
          <w:kern w:val="2"/>
          <w:sz w:val="21"/>
          <w:szCs w:val="21"/>
          <w:shd w:val="clear" w:color="auto" w:fill="FFFFFF"/>
        </w:rPr>
        <w:t>凡符合《开放课题实施办法》申请条件的研究人员均可提出申请，实验室将按照“公平竞争、择优支持”的原则确定资助项目。</w:t>
      </w:r>
    </w:p>
    <w:p w14:paraId="52CBBDBB" w14:textId="041F0770" w:rsidR="00857567" w:rsidRPr="00DF1F8A" w:rsidRDefault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54270D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实验室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负责开放课题基金的申请受理工作。开放课题基金的评审按照学术委员会评审决定的程序进行。202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3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年度开放课题基金申请受理的截止日期为202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3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11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月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26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日。研究期限为两年，起止时间为202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3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Pr="00DF1F8A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11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月至202</w:t>
      </w:r>
      <w:r w:rsidR="00C10FE6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5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Pr="00DF1F8A"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  <w:t>10</w:t>
      </w:r>
      <w:r w:rsidR="00EC4905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月。</w:t>
      </w:r>
    </w:p>
    <w:p w14:paraId="29F9B720" w14:textId="4DC76DD4" w:rsidR="00DF1F8A" w:rsidRPr="00DF1F8A" w:rsidRDefault="00EC4905" w:rsidP="00DF1F8A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申请开放课题基金必须按规定的格式如实填写《</w:t>
      </w:r>
      <w:r w:rsidR="00BE2142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8F24F3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实验室</w:t>
      </w: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开放课题申请书》</w:t>
      </w:r>
      <w:r w:rsidR="00680251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,并将</w:t>
      </w:r>
      <w:r w:rsidR="00EE5710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《新型高分子功能材料工程实验室开放课题申请书》</w:t>
      </w:r>
      <w:r w:rsidR="00EE5710" w:rsidRPr="00EE5710">
        <w:rPr>
          <w:rFonts w:ascii="宋体" w:eastAsia="宋体" w:hAnsi="宋体" w:hint="eastAsia"/>
          <w:sz w:val="21"/>
          <w:szCs w:val="21"/>
        </w:rPr>
        <w:t>发送至</w:t>
      </w:r>
      <w:r w:rsidR="00EE5710" w:rsidRPr="00EE5710">
        <w:rPr>
          <w:rFonts w:ascii="宋体" w:eastAsia="宋体" w:hAnsi="宋体"/>
          <w:sz w:val="21"/>
          <w:szCs w:val="21"/>
        </w:rPr>
        <w:t>guojn@suda.edu.cn</w:t>
      </w:r>
      <w:r w:rsidR="00DF1F8A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，经实验室组织专家委员会评审择优批准。</w:t>
      </w:r>
    </w:p>
    <w:p w14:paraId="1F44DFE3" w14:textId="3187765C" w:rsidR="00680251" w:rsidRPr="00DF1F8A" w:rsidRDefault="00680251" w:rsidP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其他未尽事宜，请与新型高分子功能材料工程实验室联系。</w:t>
      </w:r>
    </w:p>
    <w:p w14:paraId="7D3B7BF5" w14:textId="63269392" w:rsidR="00857567" w:rsidRPr="00DF1F8A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="宋体" w:eastAsia="宋体" w:hAnsi="宋体" w:cstheme="majorEastAsia"/>
          <w:color w:val="333333"/>
          <w:kern w:val="2"/>
          <w:sz w:val="21"/>
          <w:szCs w:val="21"/>
          <w:shd w:val="clear" w:color="auto" w:fill="FFFFFF"/>
        </w:rPr>
      </w:pPr>
      <w:r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联系人：</w:t>
      </w:r>
      <w:r w:rsidR="00BE2142" w:rsidRPr="00DF1F8A">
        <w:rPr>
          <w:rFonts w:ascii="宋体" w:eastAsia="宋体" w:hAnsi="宋体" w:cstheme="majorEastAsia" w:hint="eastAsia"/>
          <w:color w:val="333333"/>
          <w:kern w:val="2"/>
          <w:sz w:val="21"/>
          <w:szCs w:val="21"/>
          <w:shd w:val="clear" w:color="auto" w:fill="FFFFFF"/>
        </w:rPr>
        <w:t>郭江娜</w:t>
      </w:r>
    </w:p>
    <w:p w14:paraId="6E0F4F20" w14:textId="6EA2CBE6" w:rsidR="00857567" w:rsidRPr="00DF1F8A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="宋体" w:eastAsia="宋体" w:hAnsi="宋体" w:cstheme="majorEastAsia"/>
          <w:sz w:val="21"/>
          <w:szCs w:val="21"/>
        </w:rPr>
      </w:pPr>
      <w:r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联系电话：</w:t>
      </w:r>
      <w:r w:rsidR="00BE2142" w:rsidRPr="00DF1F8A"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  <w:t>18862108367</w:t>
      </w:r>
    </w:p>
    <w:p w14:paraId="5C5B78D5" w14:textId="727B1CAD" w:rsidR="00857567" w:rsidRPr="00DF1F8A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="宋体" w:eastAsia="宋体" w:hAnsi="宋体" w:cstheme="majorEastAsia"/>
          <w:sz w:val="21"/>
          <w:szCs w:val="21"/>
        </w:rPr>
      </w:pPr>
      <w:r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E-Mail:</w:t>
      </w:r>
      <w:r w:rsidR="00680251" w:rsidRPr="00DF1F8A"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  <w:t xml:space="preserve"> </w:t>
      </w:r>
      <w:r w:rsidR="00BE2142"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guojn</w:t>
      </w:r>
      <w:r w:rsidR="00BE2142" w:rsidRPr="00DF1F8A">
        <w:rPr>
          <w:rFonts w:ascii="宋体" w:eastAsia="宋体" w:hAnsi="宋体" w:cstheme="majorEastAsia"/>
          <w:color w:val="333333"/>
          <w:sz w:val="21"/>
          <w:szCs w:val="21"/>
          <w:shd w:val="clear" w:color="auto" w:fill="FFFFFF"/>
        </w:rPr>
        <w:t>@suda.edu.cn</w:t>
      </w:r>
    </w:p>
    <w:p w14:paraId="3C37671C" w14:textId="79620D69" w:rsidR="00857567" w:rsidRPr="00DF1F8A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="宋体" w:eastAsia="宋体" w:hAnsi="宋体" w:cstheme="majorEastAsia"/>
          <w:sz w:val="21"/>
          <w:szCs w:val="21"/>
        </w:rPr>
      </w:pPr>
      <w:r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通讯地址：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</w:rPr>
        <w:t>苏州市工业园区仁爱路199号苏州大学独</w:t>
      </w:r>
      <w:proofErr w:type="gramStart"/>
      <w:r w:rsidRPr="00DF1F8A">
        <w:rPr>
          <w:rFonts w:ascii="宋体" w:eastAsia="宋体" w:hAnsi="宋体" w:cstheme="majorEastAsia" w:hint="eastAsia"/>
          <w:color w:val="000000"/>
          <w:sz w:val="21"/>
          <w:szCs w:val="21"/>
        </w:rPr>
        <w:t>墅</w:t>
      </w:r>
      <w:proofErr w:type="gramEnd"/>
      <w:r w:rsidRPr="00DF1F8A">
        <w:rPr>
          <w:rFonts w:ascii="宋体" w:eastAsia="宋体" w:hAnsi="宋体" w:cstheme="majorEastAsia" w:hint="eastAsia"/>
          <w:color w:val="000000"/>
          <w:sz w:val="21"/>
          <w:szCs w:val="21"/>
        </w:rPr>
        <w:t>湖校区一期</w:t>
      </w:r>
      <w:r w:rsidR="00BE2142" w:rsidRPr="00DF1F8A">
        <w:rPr>
          <w:rFonts w:ascii="宋体" w:eastAsia="宋体" w:hAnsi="宋体" w:cstheme="majorEastAsia"/>
          <w:color w:val="000000"/>
          <w:sz w:val="21"/>
          <w:szCs w:val="21"/>
        </w:rPr>
        <w:t>912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</w:rPr>
        <w:t>号楼</w:t>
      </w:r>
      <w:r w:rsidR="00BE2142" w:rsidRPr="00DF1F8A">
        <w:rPr>
          <w:rFonts w:ascii="宋体" w:eastAsia="宋体" w:hAnsi="宋体" w:cstheme="majorEastAsia"/>
          <w:color w:val="000000"/>
          <w:sz w:val="21"/>
          <w:szCs w:val="21"/>
        </w:rPr>
        <w:t>512</w:t>
      </w:r>
      <w:r w:rsidRPr="00DF1F8A">
        <w:rPr>
          <w:rFonts w:ascii="宋体" w:eastAsia="宋体" w:hAnsi="宋体" w:cstheme="majorEastAsia" w:hint="eastAsia"/>
          <w:color w:val="000000"/>
          <w:sz w:val="21"/>
          <w:szCs w:val="21"/>
        </w:rPr>
        <w:t>室</w:t>
      </w:r>
    </w:p>
    <w:p w14:paraId="347B6DF2" w14:textId="77777777" w:rsidR="00857567" w:rsidRPr="00DF1F8A" w:rsidRDefault="00EC4905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="宋体" w:eastAsia="宋体" w:hAnsi="宋体" w:cstheme="majorEastAsia"/>
          <w:sz w:val="21"/>
          <w:szCs w:val="21"/>
        </w:rPr>
      </w:pPr>
      <w:r w:rsidRPr="00DF1F8A">
        <w:rPr>
          <w:rFonts w:ascii="宋体" w:eastAsia="宋体" w:hAnsi="宋体" w:cstheme="majorEastAsia" w:hint="eastAsia"/>
          <w:color w:val="333333"/>
          <w:sz w:val="21"/>
          <w:szCs w:val="21"/>
          <w:shd w:val="clear" w:color="auto" w:fill="FFFFFF"/>
        </w:rPr>
        <w:t>邮政编码：215123</w:t>
      </w:r>
    </w:p>
    <w:p w14:paraId="7E35AF68" w14:textId="609E4BEF" w:rsidR="004A1A7F" w:rsidRDefault="004A1A7F">
      <w:pPr>
        <w:widowControl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/>
          <w:szCs w:val="21"/>
        </w:rPr>
        <w:br w:type="page"/>
      </w:r>
    </w:p>
    <w:p w14:paraId="638712A0" w14:textId="6A8E507E" w:rsidR="004A1A7F" w:rsidRDefault="004A1A7F" w:rsidP="004A1A7F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</w:t>
      </w:r>
    </w:p>
    <w:p w14:paraId="4FE27D35" w14:textId="77777777" w:rsidR="004A1A7F" w:rsidRDefault="004A1A7F" w:rsidP="004A1A7F">
      <w:pPr>
        <w:pStyle w:val="ac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/>
          <w:color w:val="000000"/>
          <w:sz w:val="24"/>
        </w:rPr>
      </w:pPr>
    </w:p>
    <w:p w14:paraId="3EEA4879" w14:textId="77777777" w:rsidR="004A1A7F" w:rsidRDefault="004A1A7F" w:rsidP="004A1A7F">
      <w:pPr>
        <w:pStyle w:val="ac"/>
        <w:tabs>
          <w:tab w:val="left" w:pos="900"/>
        </w:tabs>
        <w:spacing w:beforeLines="50" w:before="156" w:line="240" w:lineRule="auto"/>
        <w:ind w:left="420"/>
        <w:jc w:val="center"/>
        <w:rPr>
          <w:rFonts w:eastAsia="方正仿宋_GBK"/>
          <w:color w:val="000000" w:themeColor="text1"/>
          <w:spacing w:val="8"/>
          <w:sz w:val="30"/>
          <w:szCs w:val="30"/>
        </w:rPr>
      </w:pPr>
      <w:bookmarkStart w:id="0" w:name="_Hlk83135786"/>
      <w:r w:rsidRPr="00B20BFE">
        <w:rPr>
          <w:rFonts w:eastAsia="方正仿宋_GBK" w:hint="eastAsia"/>
          <w:color w:val="000000" w:themeColor="text1"/>
          <w:spacing w:val="8"/>
          <w:sz w:val="30"/>
          <w:szCs w:val="30"/>
        </w:rPr>
        <w:t>江苏省新型高分子功能材料工程</w:t>
      </w:r>
      <w:r>
        <w:rPr>
          <w:rFonts w:eastAsia="方正仿宋_GBK" w:hint="eastAsia"/>
          <w:color w:val="000000" w:themeColor="text1"/>
          <w:spacing w:val="8"/>
          <w:sz w:val="30"/>
          <w:szCs w:val="30"/>
        </w:rPr>
        <w:t>实验室</w:t>
      </w:r>
    </w:p>
    <w:bookmarkEnd w:id="0"/>
    <w:p w14:paraId="3CEB2B37" w14:textId="77777777" w:rsidR="004A1A7F" w:rsidRDefault="004A1A7F" w:rsidP="004A1A7F">
      <w:pPr>
        <w:pStyle w:val="ac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24"/>
        </w:rPr>
        <w:t>（依托单位：苏州大学材料与化学化工学部）</w:t>
      </w:r>
    </w:p>
    <w:p w14:paraId="24E5ADFB" w14:textId="77777777" w:rsidR="004A1A7F" w:rsidRDefault="004A1A7F" w:rsidP="004A1A7F">
      <w:pPr>
        <w:pStyle w:val="ac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开放课题实施办法</w:t>
      </w:r>
    </w:p>
    <w:p w14:paraId="1A503739" w14:textId="77777777" w:rsidR="004A1A7F" w:rsidRDefault="004A1A7F" w:rsidP="004A1A7F">
      <w:pPr>
        <w:snapToGrid w:val="0"/>
        <w:spacing w:beforeLines="50" w:before="156"/>
        <w:rPr>
          <w:color w:val="000000"/>
        </w:rPr>
      </w:pPr>
    </w:p>
    <w:p w14:paraId="126352A9" w14:textId="77777777" w:rsidR="004A1A7F" w:rsidRPr="00954816" w:rsidRDefault="004A1A7F" w:rsidP="004A1A7F">
      <w:pPr>
        <w:numPr>
          <w:ilvl w:val="0"/>
          <w:numId w:val="1"/>
        </w:numPr>
        <w:snapToGrid w:val="0"/>
        <w:spacing w:line="360" w:lineRule="auto"/>
        <w:rPr>
          <w:rFonts w:eastAsia="仿宋_GB2312"/>
          <w:b/>
          <w:color w:val="000000"/>
          <w:sz w:val="24"/>
        </w:rPr>
      </w:pPr>
      <w:r w:rsidRPr="00954816">
        <w:rPr>
          <w:rFonts w:eastAsia="仿宋_GB2312" w:hint="eastAsia"/>
          <w:b/>
          <w:color w:val="000000"/>
          <w:sz w:val="24"/>
        </w:rPr>
        <w:t>本工程实验室开放课题</w:t>
      </w:r>
      <w:r w:rsidRPr="00954816">
        <w:rPr>
          <w:rFonts w:eastAsia="仿宋_GB2312"/>
          <w:b/>
          <w:color w:val="000000"/>
          <w:sz w:val="24"/>
        </w:rPr>
        <w:t>支持的</w:t>
      </w:r>
      <w:r w:rsidRPr="00954816">
        <w:rPr>
          <w:rFonts w:eastAsia="仿宋_GB2312" w:hint="eastAsia"/>
          <w:b/>
          <w:color w:val="000000"/>
          <w:sz w:val="24"/>
        </w:rPr>
        <w:t>主要研究</w:t>
      </w:r>
      <w:r w:rsidRPr="00954816">
        <w:rPr>
          <w:rFonts w:eastAsia="仿宋_GB2312"/>
          <w:b/>
          <w:color w:val="000000"/>
          <w:sz w:val="24"/>
        </w:rPr>
        <w:t>方向</w:t>
      </w:r>
    </w:p>
    <w:p w14:paraId="0766E5C7" w14:textId="77777777" w:rsidR="004A1A7F" w:rsidRPr="00954816" w:rsidRDefault="004A1A7F" w:rsidP="004A1A7F">
      <w:pPr>
        <w:snapToGrid w:val="0"/>
        <w:spacing w:line="360" w:lineRule="auto"/>
        <w:ind w:firstLineChars="100" w:firstLine="240"/>
        <w:rPr>
          <w:rFonts w:eastAsia="仿宋_GB2312"/>
          <w:color w:val="000000"/>
          <w:sz w:val="24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Pr="00954816">
        <w:rPr>
          <w:rFonts w:eastAsia="仿宋_GB2312"/>
          <w:color w:val="000000"/>
          <w:sz w:val="24"/>
        </w:rPr>
        <w:t>1</w:t>
      </w:r>
      <w:r w:rsidRPr="00954816">
        <w:rPr>
          <w:rFonts w:eastAsia="仿宋_GB2312" w:hint="eastAsia"/>
          <w:color w:val="000000"/>
          <w:sz w:val="24"/>
        </w:rPr>
        <w:t>）</w:t>
      </w:r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功能聚合物材料方向</w:t>
      </w:r>
    </w:p>
    <w:p w14:paraId="1189C89B" w14:textId="77777777" w:rsidR="004A1A7F" w:rsidRPr="00954816" w:rsidRDefault="004A1A7F" w:rsidP="004A1A7F">
      <w:pPr>
        <w:snapToGrid w:val="0"/>
        <w:spacing w:line="360" w:lineRule="auto"/>
        <w:ind w:firstLineChars="100" w:firstLine="240"/>
        <w:rPr>
          <w:rFonts w:ascii="宋体" w:hAnsi="宋体" w:cstheme="majorEastAsia"/>
          <w:color w:val="333333"/>
          <w:szCs w:val="21"/>
          <w:shd w:val="clear" w:color="auto" w:fill="FFFFFF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Pr="00954816">
        <w:rPr>
          <w:rFonts w:eastAsia="仿宋_GB2312"/>
          <w:color w:val="000000"/>
          <w:sz w:val="24"/>
        </w:rPr>
        <w:t>2</w:t>
      </w:r>
      <w:r w:rsidRPr="00954816">
        <w:rPr>
          <w:rFonts w:eastAsia="仿宋_GB2312" w:hint="eastAsia"/>
          <w:color w:val="000000"/>
          <w:sz w:val="24"/>
        </w:rPr>
        <w:t>）</w:t>
      </w:r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能</w:t>
      </w:r>
      <w:proofErr w:type="gramStart"/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源材料</w:t>
      </w:r>
      <w:proofErr w:type="gramEnd"/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相关方向</w:t>
      </w:r>
    </w:p>
    <w:p w14:paraId="6DE19675" w14:textId="77777777" w:rsidR="004A1A7F" w:rsidRPr="00954816" w:rsidRDefault="004A1A7F" w:rsidP="004A1A7F">
      <w:pPr>
        <w:snapToGrid w:val="0"/>
        <w:spacing w:line="360" w:lineRule="auto"/>
        <w:ind w:firstLineChars="100" w:firstLine="240"/>
        <w:rPr>
          <w:rFonts w:ascii="宋体" w:hAnsi="宋体" w:cstheme="majorEastAsia"/>
          <w:color w:val="333333"/>
          <w:szCs w:val="21"/>
          <w:shd w:val="clear" w:color="auto" w:fill="FFFFFF"/>
        </w:rPr>
      </w:pPr>
      <w:r w:rsidRPr="00954816">
        <w:rPr>
          <w:rFonts w:eastAsia="仿宋_GB2312" w:hint="eastAsia"/>
          <w:color w:val="000000"/>
          <w:sz w:val="24"/>
        </w:rPr>
        <w:t>（</w:t>
      </w:r>
      <w:r w:rsidRPr="00954816">
        <w:rPr>
          <w:rFonts w:eastAsia="仿宋_GB2312"/>
          <w:color w:val="000000"/>
          <w:sz w:val="24"/>
        </w:rPr>
        <w:t>3</w:t>
      </w:r>
      <w:r w:rsidRPr="00954816">
        <w:rPr>
          <w:rFonts w:eastAsia="仿宋_GB2312" w:hint="eastAsia"/>
          <w:color w:val="000000"/>
          <w:sz w:val="24"/>
        </w:rPr>
        <w:t>）</w:t>
      </w:r>
      <w:r w:rsidRPr="00954816">
        <w:rPr>
          <w:rFonts w:ascii="宋体" w:hAnsi="宋体" w:cstheme="majorEastAsia" w:hint="eastAsia"/>
          <w:color w:val="333333"/>
          <w:szCs w:val="21"/>
          <w:shd w:val="clear" w:color="auto" w:fill="FFFFFF"/>
        </w:rPr>
        <w:t>生物医用材料方向</w:t>
      </w:r>
    </w:p>
    <w:p w14:paraId="0255F088" w14:textId="77777777" w:rsidR="004A1A7F" w:rsidRDefault="004A1A7F" w:rsidP="004A1A7F">
      <w:pPr>
        <w:snapToGrid w:val="0"/>
        <w:spacing w:line="360" w:lineRule="auto"/>
        <w:rPr>
          <w:rFonts w:eastAsia="仿宋_GB2312"/>
          <w:b/>
          <w:bCs/>
          <w:color w:val="000000"/>
          <w:sz w:val="24"/>
        </w:rPr>
      </w:pPr>
    </w:p>
    <w:p w14:paraId="35F945C8" w14:textId="77777777" w:rsidR="004A1A7F" w:rsidRDefault="004A1A7F" w:rsidP="004A1A7F">
      <w:pPr>
        <w:snapToGrid w:val="0"/>
        <w:spacing w:line="360" w:lineRule="auto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二、课题申请</w:t>
      </w:r>
      <w:r>
        <w:rPr>
          <w:rFonts w:eastAsia="仿宋_GB2312" w:hint="eastAsia"/>
          <w:b/>
          <w:color w:val="000000"/>
          <w:sz w:val="24"/>
        </w:rPr>
        <w:t>、立项</w:t>
      </w:r>
      <w:r>
        <w:rPr>
          <w:rFonts w:eastAsia="仿宋_GB2312"/>
          <w:b/>
          <w:color w:val="000000"/>
          <w:sz w:val="24"/>
        </w:rPr>
        <w:t>与管理</w:t>
      </w:r>
    </w:p>
    <w:p w14:paraId="36F6E23A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  <w:highlight w:val="yellow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具备博士学位或中级及以上技术职称的校内外科研工作者，均可在本</w:t>
      </w:r>
      <w:bookmarkStart w:id="1" w:name="_Hlk83135964"/>
      <w:r>
        <w:rPr>
          <w:rFonts w:eastAsia="仿宋_GB2312" w:hint="eastAsia"/>
          <w:color w:val="000000"/>
          <w:sz w:val="24"/>
        </w:rPr>
        <w:t>工程</w:t>
      </w:r>
      <w:bookmarkEnd w:id="1"/>
      <w:r>
        <w:rPr>
          <w:rFonts w:eastAsia="仿宋_GB2312" w:hint="eastAsia"/>
          <w:color w:val="000000"/>
          <w:sz w:val="24"/>
        </w:rPr>
        <w:t>实验室支持的研究范围内提出资助申请。同时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实验室也接收校内外研究人员自带课题和经费，利用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实验室设备条件开展科学研究。</w:t>
      </w:r>
      <w:r>
        <w:rPr>
          <w:rFonts w:eastAsia="仿宋_GB2312"/>
          <w:color w:val="000000"/>
          <w:sz w:val="24"/>
        </w:rPr>
        <w:t>开放课题的申请者，均需</w:t>
      </w:r>
      <w:r>
        <w:rPr>
          <w:rFonts w:eastAsia="仿宋_GB2312" w:hint="eastAsia"/>
          <w:color w:val="000000"/>
          <w:sz w:val="24"/>
        </w:rPr>
        <w:t>先</w:t>
      </w:r>
      <w:r>
        <w:rPr>
          <w:rFonts w:eastAsia="仿宋_GB2312"/>
          <w:color w:val="000000"/>
          <w:sz w:val="24"/>
        </w:rPr>
        <w:t>填写课题申请表</w:t>
      </w:r>
      <w:r>
        <w:rPr>
          <w:rFonts w:eastAsia="仿宋_GB2312" w:hint="eastAsia"/>
          <w:color w:val="000000"/>
          <w:sz w:val="24"/>
        </w:rPr>
        <w:t>。</w:t>
      </w:r>
    </w:p>
    <w:p w14:paraId="38518A03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2</w:t>
      </w:r>
      <w:r>
        <w:rPr>
          <w:rFonts w:eastAsia="仿宋_GB2312" w:hint="eastAsia"/>
          <w:color w:val="000000"/>
          <w:sz w:val="24"/>
        </w:rPr>
        <w:t>）开放课题由依托单位以外人员承担，本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实验室人员不能承担开放课题。</w:t>
      </w:r>
    </w:p>
    <w:p w14:paraId="2B285EBF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3</w:t>
      </w:r>
      <w:r>
        <w:rPr>
          <w:rFonts w:eastAsia="仿宋_GB2312" w:hint="eastAsia"/>
          <w:color w:val="000000"/>
          <w:sz w:val="24"/>
        </w:rPr>
        <w:t>）对申请的开放课题</w:t>
      </w:r>
      <w:r>
        <w:rPr>
          <w:rFonts w:eastAsia="仿宋_GB2312"/>
          <w:color w:val="000000"/>
          <w:sz w:val="24"/>
        </w:rPr>
        <w:t>由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</w:t>
      </w:r>
      <w:r>
        <w:rPr>
          <w:rFonts w:eastAsia="仿宋_GB2312"/>
          <w:color w:val="000000"/>
          <w:sz w:val="24"/>
        </w:rPr>
        <w:t>学术委员会</w:t>
      </w:r>
      <w:r>
        <w:rPr>
          <w:rFonts w:eastAsia="仿宋_GB2312" w:hint="eastAsia"/>
          <w:color w:val="000000"/>
          <w:sz w:val="24"/>
        </w:rPr>
        <w:t>决定是否给予立项</w:t>
      </w:r>
      <w:r>
        <w:rPr>
          <w:rFonts w:eastAsia="仿宋_GB2312"/>
          <w:color w:val="000000"/>
          <w:sz w:val="24"/>
        </w:rPr>
        <w:t>。本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</w:t>
      </w:r>
      <w:r>
        <w:rPr>
          <w:rFonts w:eastAsia="仿宋_GB2312"/>
          <w:color w:val="000000"/>
          <w:sz w:val="24"/>
        </w:rPr>
        <w:t>的</w:t>
      </w:r>
      <w:r>
        <w:rPr>
          <w:rFonts w:eastAsia="仿宋_GB2312" w:hint="eastAsia"/>
          <w:color w:val="000000"/>
          <w:sz w:val="24"/>
        </w:rPr>
        <w:t>开放</w:t>
      </w:r>
      <w:r>
        <w:rPr>
          <w:rFonts w:eastAsia="仿宋_GB2312"/>
          <w:color w:val="000000"/>
          <w:sz w:val="24"/>
        </w:rPr>
        <w:t>课题一般为期二年。</w:t>
      </w:r>
      <w:r>
        <w:rPr>
          <w:rFonts w:eastAsia="仿宋_GB2312" w:hint="eastAsia"/>
          <w:color w:val="000000"/>
          <w:sz w:val="24"/>
        </w:rPr>
        <w:t>中期进行年度检查，由</w:t>
      </w:r>
      <w:r>
        <w:rPr>
          <w:rFonts w:eastAsia="仿宋_GB2312"/>
          <w:color w:val="000000"/>
          <w:sz w:val="24"/>
        </w:rPr>
        <w:t>学术委员会</w:t>
      </w:r>
      <w:r>
        <w:rPr>
          <w:rFonts w:eastAsia="仿宋_GB2312" w:hint="eastAsia"/>
          <w:color w:val="000000"/>
          <w:sz w:val="24"/>
        </w:rPr>
        <w:t>根据项目执行情况确定是否予以继续支持。</w:t>
      </w:r>
    </w:p>
    <w:p w14:paraId="46C78E11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4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课题</w:t>
      </w:r>
      <w:r>
        <w:rPr>
          <w:rFonts w:eastAsia="仿宋_GB2312" w:hint="eastAsia"/>
          <w:color w:val="000000"/>
          <w:sz w:val="24"/>
        </w:rPr>
        <w:t>经费</w:t>
      </w:r>
      <w:r>
        <w:rPr>
          <w:rFonts w:eastAsia="仿宋_GB2312"/>
          <w:color w:val="000000"/>
          <w:sz w:val="24"/>
        </w:rPr>
        <w:t>专款专用</w:t>
      </w:r>
      <w:r>
        <w:rPr>
          <w:rFonts w:eastAsia="仿宋_GB2312" w:hint="eastAsia"/>
          <w:color w:val="000000"/>
          <w:sz w:val="24"/>
        </w:rPr>
        <w:t>，</w:t>
      </w:r>
      <w:r>
        <w:rPr>
          <w:rFonts w:eastAsia="仿宋_GB2312"/>
          <w:color w:val="000000"/>
          <w:sz w:val="24"/>
        </w:rPr>
        <w:t>开放</w:t>
      </w:r>
      <w:r>
        <w:rPr>
          <w:rFonts w:eastAsia="仿宋_GB2312" w:hint="eastAsia"/>
          <w:color w:val="000000"/>
          <w:sz w:val="24"/>
        </w:rPr>
        <w:t>课题</w:t>
      </w:r>
      <w:r>
        <w:rPr>
          <w:rFonts w:eastAsia="仿宋_GB2312"/>
          <w:color w:val="000000"/>
          <w:sz w:val="24"/>
        </w:rPr>
        <w:t>的经费只限于以下几方面开支：</w:t>
      </w:r>
    </w:p>
    <w:p w14:paraId="70A2035B" w14:textId="77777777" w:rsidR="004A1A7F" w:rsidRDefault="004A1A7F" w:rsidP="004A1A7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与资助课题直接有关的课题费用，包括材料费、</w:t>
      </w:r>
      <w:r>
        <w:rPr>
          <w:rFonts w:eastAsia="仿宋_GB2312" w:hint="eastAsia"/>
          <w:color w:val="000000"/>
          <w:sz w:val="24"/>
        </w:rPr>
        <w:t>测试加工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1267AA74" w14:textId="77777777" w:rsidR="004A1A7F" w:rsidRDefault="004A1A7F" w:rsidP="004A1A7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学术活动费，包括学术论文出版费、学术会议</w:t>
      </w:r>
      <w:r>
        <w:rPr>
          <w:rFonts w:eastAsia="仿宋_GB2312" w:hint="eastAsia"/>
          <w:color w:val="000000"/>
          <w:sz w:val="24"/>
        </w:rPr>
        <w:t>费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2E02E94D" w14:textId="77777777" w:rsidR="004A1A7F" w:rsidRDefault="004A1A7F" w:rsidP="004A1A7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交通费、</w:t>
      </w:r>
      <w:r>
        <w:rPr>
          <w:rFonts w:eastAsia="仿宋_GB2312" w:hint="eastAsia"/>
          <w:color w:val="000000"/>
          <w:sz w:val="24"/>
        </w:rPr>
        <w:t>差旅费、劳务费</w:t>
      </w:r>
      <w:r>
        <w:rPr>
          <w:rFonts w:eastAsia="仿宋_GB2312"/>
          <w:color w:val="000000"/>
          <w:sz w:val="24"/>
        </w:rPr>
        <w:t>等</w:t>
      </w:r>
      <w:r>
        <w:rPr>
          <w:rFonts w:eastAsia="仿宋_GB2312" w:hint="eastAsia"/>
          <w:color w:val="000000"/>
          <w:sz w:val="24"/>
        </w:rPr>
        <w:t>。</w:t>
      </w:r>
    </w:p>
    <w:p w14:paraId="40BCFB8D" w14:textId="77777777" w:rsidR="004A1A7F" w:rsidRDefault="004A1A7F" w:rsidP="004A1A7F">
      <w:pPr>
        <w:snapToGrid w:val="0"/>
        <w:spacing w:line="360" w:lineRule="auto"/>
        <w:ind w:left="719"/>
        <w:rPr>
          <w:rFonts w:eastAsia="仿宋_GB2312"/>
          <w:color w:val="000000"/>
          <w:sz w:val="24"/>
        </w:rPr>
      </w:pP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实验室鼓励开放课题人员学术交流，欢迎申请方人员（包括研究生）来本</w:t>
      </w:r>
      <w:r w:rsidRPr="003329A7">
        <w:rPr>
          <w:rFonts w:eastAsia="仿宋_GB2312" w:hint="eastAsia"/>
          <w:color w:val="000000"/>
          <w:sz w:val="24"/>
        </w:rPr>
        <w:t>工程</w:t>
      </w:r>
      <w:r>
        <w:rPr>
          <w:rFonts w:eastAsia="仿宋_GB2312" w:hint="eastAsia"/>
          <w:color w:val="000000"/>
          <w:sz w:val="24"/>
        </w:rPr>
        <w:t>实验室从事科研工作。</w:t>
      </w:r>
    </w:p>
    <w:p w14:paraId="2D0B1C20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5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论文署名和研究成果的归属：</w:t>
      </w:r>
    </w:p>
    <w:p w14:paraId="1E42D18B" w14:textId="77777777" w:rsidR="004A1A7F" w:rsidRDefault="004A1A7F" w:rsidP="004A1A7F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开放课题一经立项，承担人员即成为</w:t>
      </w:r>
      <w:r w:rsidRPr="006826FD">
        <w:rPr>
          <w:rFonts w:eastAsia="仿宋_GB2312" w:hint="eastAsia"/>
          <w:color w:val="000000"/>
          <w:sz w:val="24"/>
        </w:rPr>
        <w:t>江苏省新型高分子功能材料工程</w:t>
      </w:r>
      <w:r>
        <w:rPr>
          <w:rFonts w:eastAsia="仿宋_GB2312" w:hint="eastAsia"/>
          <w:color w:val="000000"/>
          <w:sz w:val="24"/>
        </w:rPr>
        <w:t>实验室客座人员。</w:t>
      </w:r>
    </w:p>
    <w:p w14:paraId="046D73C7" w14:textId="77777777" w:rsidR="004A1A7F" w:rsidRDefault="004A1A7F" w:rsidP="004A1A7F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资助课题的成果归本</w:t>
      </w:r>
      <w:r>
        <w:rPr>
          <w:rFonts w:eastAsia="仿宋_GB2312" w:hint="eastAsia"/>
          <w:color w:val="000000"/>
          <w:sz w:val="24"/>
        </w:rPr>
        <w:t>工程实验室</w:t>
      </w:r>
      <w:r>
        <w:rPr>
          <w:rFonts w:eastAsia="仿宋_GB2312"/>
          <w:color w:val="000000"/>
          <w:sz w:val="24"/>
        </w:rPr>
        <w:t>和研究者所在单位共享。</w:t>
      </w:r>
    </w:p>
    <w:p w14:paraId="75FF4832" w14:textId="77777777" w:rsidR="004A1A7F" w:rsidRPr="007F04C5" w:rsidRDefault="004A1A7F" w:rsidP="004A1A7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由</w:t>
      </w:r>
      <w:r w:rsidRPr="007F04C5">
        <w:rPr>
          <w:rFonts w:eastAsia="仿宋_GB2312" w:hint="eastAsia"/>
          <w:color w:val="000000"/>
          <w:sz w:val="24"/>
        </w:rPr>
        <w:t>工程实验室</w:t>
      </w:r>
      <w:r w:rsidRPr="007F04C5">
        <w:rPr>
          <w:rFonts w:eastAsia="仿宋_GB2312"/>
          <w:color w:val="000000"/>
          <w:sz w:val="24"/>
        </w:rPr>
        <w:t>资助的</w:t>
      </w:r>
      <w:r w:rsidRPr="007F04C5">
        <w:rPr>
          <w:rFonts w:eastAsia="仿宋_GB2312" w:hint="eastAsia"/>
          <w:color w:val="000000"/>
          <w:sz w:val="24"/>
        </w:rPr>
        <w:t>开放</w:t>
      </w:r>
      <w:r w:rsidRPr="007F04C5">
        <w:rPr>
          <w:rFonts w:eastAsia="仿宋_GB2312"/>
          <w:color w:val="000000"/>
          <w:sz w:val="24"/>
        </w:rPr>
        <w:t>课题，论文发表时作者须署</w:t>
      </w:r>
      <w:r w:rsidRPr="007F04C5">
        <w:rPr>
          <w:rFonts w:eastAsia="仿宋_GB2312" w:hint="eastAsia"/>
          <w:color w:val="000000"/>
          <w:sz w:val="24"/>
        </w:rPr>
        <w:t>名</w:t>
      </w:r>
      <w:r w:rsidRPr="007F04C5">
        <w:rPr>
          <w:rFonts w:eastAsia="仿宋_GB2312"/>
          <w:color w:val="000000"/>
          <w:sz w:val="24"/>
        </w:rPr>
        <w:t>本</w:t>
      </w:r>
      <w:r w:rsidRPr="007F04C5">
        <w:rPr>
          <w:rFonts w:eastAsia="仿宋_GB2312" w:hint="eastAsia"/>
          <w:color w:val="000000"/>
          <w:sz w:val="24"/>
        </w:rPr>
        <w:t>工程实验室的名称</w:t>
      </w:r>
      <w:r w:rsidRPr="007F04C5">
        <w:rPr>
          <w:rFonts w:eastAsia="仿宋_GB2312"/>
          <w:color w:val="000000"/>
          <w:sz w:val="24"/>
        </w:rPr>
        <w:t>。</w:t>
      </w:r>
    </w:p>
    <w:p w14:paraId="5D819B20" w14:textId="77777777" w:rsidR="004A1A7F" w:rsidRPr="007F04C5" w:rsidRDefault="004A1A7F" w:rsidP="004A1A7F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本</w:t>
      </w:r>
      <w:r w:rsidRPr="007F04C5">
        <w:rPr>
          <w:rFonts w:eastAsia="仿宋_GB2312" w:hint="eastAsia"/>
          <w:color w:val="000000"/>
          <w:sz w:val="24"/>
        </w:rPr>
        <w:t>工程实验室</w:t>
      </w:r>
      <w:r w:rsidRPr="007F04C5">
        <w:rPr>
          <w:rFonts w:eastAsia="仿宋_GB2312"/>
          <w:color w:val="000000"/>
          <w:sz w:val="24"/>
        </w:rPr>
        <w:t>名称署</w:t>
      </w:r>
      <w:r w:rsidRPr="007F04C5">
        <w:rPr>
          <w:rFonts w:eastAsia="仿宋_GB2312" w:hint="eastAsia"/>
          <w:color w:val="000000"/>
          <w:sz w:val="24"/>
        </w:rPr>
        <w:t>名格式</w:t>
      </w:r>
      <w:r w:rsidRPr="007F04C5">
        <w:rPr>
          <w:rFonts w:eastAsia="仿宋_GB2312"/>
          <w:color w:val="000000"/>
          <w:sz w:val="24"/>
        </w:rPr>
        <w:t>：</w:t>
      </w:r>
    </w:p>
    <w:p w14:paraId="5029094B" w14:textId="77777777" w:rsidR="004A1A7F" w:rsidRPr="007F04C5" w:rsidRDefault="004A1A7F" w:rsidP="004A1A7F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 w:hint="eastAsia"/>
          <w:color w:val="000000"/>
          <w:sz w:val="24"/>
        </w:rPr>
        <w:t>江苏省新型高分子功能材料工程实验室</w:t>
      </w:r>
      <w:r w:rsidRPr="007F04C5">
        <w:rPr>
          <w:rFonts w:eastAsia="仿宋_GB2312" w:hint="eastAsia"/>
          <w:color w:val="000000"/>
          <w:sz w:val="24"/>
        </w:rPr>
        <w:t xml:space="preserve"> </w:t>
      </w:r>
    </w:p>
    <w:p w14:paraId="515666F3" w14:textId="77777777" w:rsidR="004A1A7F" w:rsidRPr="007F04C5" w:rsidRDefault="004A1A7F" w:rsidP="004A1A7F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地址：</w:t>
      </w:r>
      <w:r w:rsidRPr="007F04C5">
        <w:rPr>
          <w:rFonts w:eastAsia="仿宋_GB2312" w:hint="eastAsia"/>
          <w:color w:val="000000"/>
          <w:sz w:val="24"/>
        </w:rPr>
        <w:t>苏州市工业园区仁爱路</w:t>
      </w:r>
      <w:r w:rsidRPr="007F04C5">
        <w:rPr>
          <w:rFonts w:eastAsia="仿宋_GB2312" w:hint="eastAsia"/>
          <w:color w:val="000000"/>
          <w:sz w:val="24"/>
        </w:rPr>
        <w:t>199</w:t>
      </w:r>
      <w:r w:rsidRPr="007F04C5">
        <w:rPr>
          <w:rFonts w:eastAsia="仿宋_GB2312" w:hint="eastAsia"/>
          <w:color w:val="000000"/>
          <w:sz w:val="24"/>
        </w:rPr>
        <w:t>号苏州大学独</w:t>
      </w:r>
      <w:proofErr w:type="gramStart"/>
      <w:r w:rsidRPr="007F04C5">
        <w:rPr>
          <w:rFonts w:eastAsia="仿宋_GB2312" w:hint="eastAsia"/>
          <w:color w:val="000000"/>
          <w:sz w:val="24"/>
        </w:rPr>
        <w:t>墅</w:t>
      </w:r>
      <w:proofErr w:type="gramEnd"/>
      <w:r w:rsidRPr="007F04C5">
        <w:rPr>
          <w:rFonts w:eastAsia="仿宋_GB2312" w:hint="eastAsia"/>
          <w:color w:val="000000"/>
          <w:sz w:val="24"/>
        </w:rPr>
        <w:t>湖校区一期</w:t>
      </w:r>
    </w:p>
    <w:p w14:paraId="7AB856E9" w14:textId="77777777" w:rsidR="004A1A7F" w:rsidRPr="007F04C5" w:rsidRDefault="004A1A7F" w:rsidP="004A1A7F">
      <w:pPr>
        <w:snapToGrid w:val="0"/>
        <w:spacing w:line="360" w:lineRule="auto"/>
        <w:ind w:leftChars="570" w:left="1197"/>
        <w:rPr>
          <w:rFonts w:eastAsia="仿宋_GB2312"/>
          <w:color w:val="000000"/>
          <w:sz w:val="24"/>
        </w:rPr>
      </w:pPr>
      <w:r w:rsidRPr="007F04C5">
        <w:rPr>
          <w:rFonts w:eastAsia="仿宋_GB2312"/>
          <w:color w:val="000000"/>
          <w:sz w:val="24"/>
        </w:rPr>
        <w:t>邮</w:t>
      </w:r>
      <w:r w:rsidRPr="007F04C5">
        <w:rPr>
          <w:rFonts w:eastAsia="仿宋_GB2312"/>
          <w:color w:val="000000"/>
          <w:sz w:val="24"/>
        </w:rPr>
        <w:t xml:space="preserve"> </w:t>
      </w:r>
      <w:r w:rsidRPr="007F04C5">
        <w:rPr>
          <w:rFonts w:eastAsia="仿宋_GB2312"/>
          <w:color w:val="000000"/>
          <w:sz w:val="24"/>
        </w:rPr>
        <w:t>编：</w:t>
      </w:r>
      <w:r w:rsidRPr="007F04C5">
        <w:rPr>
          <w:rFonts w:eastAsia="仿宋_GB2312" w:hint="eastAsia"/>
          <w:color w:val="000000"/>
          <w:sz w:val="24"/>
        </w:rPr>
        <w:t>215123</w:t>
      </w:r>
    </w:p>
    <w:p w14:paraId="0CEB124C" w14:textId="77777777" w:rsidR="004A1A7F" w:rsidRPr="007F04C5" w:rsidRDefault="004A1A7F" w:rsidP="004A1A7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仿宋_GB2312"/>
          <w:color w:val="000000"/>
          <w:sz w:val="24"/>
        </w:rPr>
      </w:pPr>
      <w:r w:rsidRPr="007F04C5">
        <w:rPr>
          <w:i/>
          <w:color w:val="000000"/>
          <w:sz w:val="24"/>
        </w:rPr>
        <w:t>Jiangsu Engineering Laboratory of Novel Functional Polymeric Materials</w:t>
      </w:r>
      <w:r w:rsidRPr="007F04C5">
        <w:rPr>
          <w:rFonts w:eastAsia="TimesNewRoman"/>
          <w:i/>
          <w:color w:val="000000"/>
          <w:sz w:val="24"/>
        </w:rPr>
        <w:t xml:space="preserve">, </w:t>
      </w:r>
      <w:r w:rsidRPr="007F04C5">
        <w:rPr>
          <w:rFonts w:hint="eastAsia"/>
          <w:i/>
          <w:color w:val="000000"/>
          <w:sz w:val="24"/>
        </w:rPr>
        <w:t xml:space="preserve">Soochow </w:t>
      </w:r>
      <w:r w:rsidRPr="007F04C5">
        <w:rPr>
          <w:rFonts w:eastAsia="TimesNewRoman"/>
          <w:i/>
          <w:color w:val="000000"/>
          <w:sz w:val="24"/>
        </w:rPr>
        <w:t xml:space="preserve">University, </w:t>
      </w:r>
      <w:r w:rsidRPr="007F04C5">
        <w:rPr>
          <w:rFonts w:hint="eastAsia"/>
          <w:i/>
          <w:color w:val="000000"/>
          <w:sz w:val="24"/>
        </w:rPr>
        <w:t>Suzhou,</w:t>
      </w:r>
      <w:r w:rsidRPr="007F04C5">
        <w:rPr>
          <w:rFonts w:eastAsia="TimesNewRoman"/>
          <w:i/>
          <w:color w:val="000000"/>
          <w:sz w:val="24"/>
        </w:rPr>
        <w:t xml:space="preserve"> </w:t>
      </w:r>
      <w:r w:rsidRPr="007F04C5">
        <w:rPr>
          <w:rFonts w:hint="eastAsia"/>
          <w:i/>
          <w:color w:val="000000"/>
          <w:sz w:val="24"/>
        </w:rPr>
        <w:t>215123</w:t>
      </w:r>
      <w:r w:rsidRPr="007F04C5">
        <w:rPr>
          <w:rFonts w:eastAsia="TimesNewRoman"/>
          <w:i/>
          <w:color w:val="000000"/>
          <w:sz w:val="24"/>
        </w:rPr>
        <w:t>, China</w:t>
      </w:r>
    </w:p>
    <w:p w14:paraId="3129A595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6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课题结束时，应提交课题总结报告及发表的论文复印件或成果证书复印件</w:t>
      </w:r>
      <w:r>
        <w:rPr>
          <w:rFonts w:eastAsia="仿宋_GB2312" w:hint="eastAsia"/>
          <w:color w:val="000000"/>
          <w:sz w:val="24"/>
        </w:rPr>
        <w:t>（电子版也可以）</w:t>
      </w:r>
      <w:r>
        <w:rPr>
          <w:rFonts w:eastAsia="仿宋_GB2312"/>
          <w:color w:val="000000"/>
          <w:sz w:val="24"/>
        </w:rPr>
        <w:t>。</w:t>
      </w:r>
    </w:p>
    <w:p w14:paraId="25C212E8" w14:textId="77777777" w:rsidR="004A1A7F" w:rsidRDefault="004A1A7F" w:rsidP="004A1A7F">
      <w:pPr>
        <w:snapToGrid w:val="0"/>
        <w:spacing w:line="360" w:lineRule="auto"/>
        <w:ind w:left="359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7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研究课题无法按期完成，或要求改变研究内容，或要求中止，都</w:t>
      </w:r>
      <w:r>
        <w:rPr>
          <w:rFonts w:eastAsia="仿宋_GB2312" w:hint="eastAsia"/>
          <w:color w:val="000000"/>
          <w:sz w:val="24"/>
        </w:rPr>
        <w:t>需</w:t>
      </w:r>
      <w:r>
        <w:rPr>
          <w:rFonts w:eastAsia="仿宋_GB2312"/>
          <w:color w:val="000000"/>
          <w:sz w:val="24"/>
        </w:rPr>
        <w:t>及时向本</w:t>
      </w:r>
      <w:r>
        <w:rPr>
          <w:rFonts w:eastAsia="仿宋_GB2312" w:hint="eastAsia"/>
          <w:color w:val="000000"/>
          <w:sz w:val="24"/>
        </w:rPr>
        <w:t>工程实验室</w:t>
      </w:r>
      <w:r>
        <w:rPr>
          <w:rFonts w:eastAsia="仿宋_GB2312"/>
          <w:color w:val="000000"/>
          <w:sz w:val="24"/>
        </w:rPr>
        <w:t>提出书面报告，</w:t>
      </w:r>
      <w:r>
        <w:rPr>
          <w:rFonts w:eastAsia="仿宋_GB2312" w:hint="eastAsia"/>
          <w:color w:val="000000"/>
          <w:sz w:val="24"/>
        </w:rPr>
        <w:t>由</w:t>
      </w:r>
      <w:r>
        <w:rPr>
          <w:rFonts w:eastAsia="仿宋_GB2312"/>
          <w:color w:val="000000"/>
          <w:sz w:val="24"/>
        </w:rPr>
        <w:t>学术委员会主任会同</w:t>
      </w:r>
      <w:r>
        <w:rPr>
          <w:rFonts w:eastAsia="仿宋_GB2312" w:hint="eastAsia"/>
          <w:color w:val="000000"/>
          <w:sz w:val="24"/>
        </w:rPr>
        <w:t>工程实验室负责人</w:t>
      </w:r>
      <w:r>
        <w:rPr>
          <w:rFonts w:eastAsia="仿宋_GB2312"/>
          <w:color w:val="000000"/>
          <w:sz w:val="24"/>
        </w:rPr>
        <w:t>讨论决定。中止课题的经费余额应退还本</w:t>
      </w:r>
      <w:r>
        <w:rPr>
          <w:rFonts w:eastAsia="仿宋_GB2312" w:hint="eastAsia"/>
          <w:color w:val="000000"/>
          <w:sz w:val="24"/>
        </w:rPr>
        <w:t>工程实验室</w:t>
      </w:r>
      <w:r>
        <w:rPr>
          <w:rFonts w:eastAsia="仿宋_GB2312"/>
          <w:color w:val="000000"/>
          <w:sz w:val="24"/>
        </w:rPr>
        <w:t>。</w:t>
      </w:r>
    </w:p>
    <w:p w14:paraId="215C1697" w14:textId="77777777" w:rsidR="004A1A7F" w:rsidRDefault="004A1A7F" w:rsidP="004A1A7F">
      <w:pPr>
        <w:tabs>
          <w:tab w:val="left" w:pos="719"/>
        </w:tabs>
        <w:snapToGrid w:val="0"/>
        <w:spacing w:line="360" w:lineRule="auto"/>
        <w:ind w:leftChars="200" w:left="42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 w:hint="eastAsia"/>
          <w:color w:val="000000"/>
          <w:sz w:val="24"/>
        </w:rPr>
        <w:t>8</w:t>
      </w:r>
      <w:r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为了及时支持新出现的前沿课题与有重大应用背景的新课题，受学术委员会委托，学术委员会主任会同</w:t>
      </w:r>
      <w:r>
        <w:rPr>
          <w:rFonts w:eastAsia="仿宋_GB2312" w:hint="eastAsia"/>
          <w:color w:val="000000"/>
          <w:sz w:val="24"/>
        </w:rPr>
        <w:t>工程实验室</w:t>
      </w:r>
      <w:r>
        <w:rPr>
          <w:rFonts w:eastAsia="仿宋_GB2312"/>
          <w:color w:val="000000"/>
          <w:sz w:val="24"/>
        </w:rPr>
        <w:t>主任可审批个别课题。</w:t>
      </w:r>
    </w:p>
    <w:p w14:paraId="64DB5D32" w14:textId="77777777" w:rsidR="004A1A7F" w:rsidRDefault="004A1A7F" w:rsidP="004A1A7F">
      <w:pPr>
        <w:snapToGrid w:val="0"/>
        <w:spacing w:beforeLines="50" w:before="156"/>
        <w:rPr>
          <w:rFonts w:eastAsia="仿宋_GB2312"/>
          <w:color w:val="000000"/>
          <w:sz w:val="24"/>
        </w:rPr>
      </w:pPr>
    </w:p>
    <w:p w14:paraId="4E9325CC" w14:textId="77777777" w:rsidR="004A1A7F" w:rsidRDefault="004A1A7F" w:rsidP="004A1A7F"/>
    <w:p w14:paraId="33D3E864" w14:textId="77777777" w:rsidR="00857567" w:rsidRPr="004A1A7F" w:rsidRDefault="00857567">
      <w:pPr>
        <w:rPr>
          <w:rFonts w:ascii="宋体" w:eastAsia="宋体" w:hAnsi="宋体" w:cstheme="majorEastAsia"/>
          <w:szCs w:val="21"/>
        </w:rPr>
      </w:pPr>
    </w:p>
    <w:sectPr w:rsidR="00857567" w:rsidRPr="004A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004C" w14:textId="77777777" w:rsidR="0074003B" w:rsidRDefault="0074003B" w:rsidP="008F24F3">
      <w:r>
        <w:separator/>
      </w:r>
    </w:p>
  </w:endnote>
  <w:endnote w:type="continuationSeparator" w:id="0">
    <w:p w14:paraId="3ECB0315" w14:textId="77777777" w:rsidR="0074003B" w:rsidRDefault="0074003B" w:rsidP="008F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NewRoman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6D55" w14:textId="77777777" w:rsidR="0074003B" w:rsidRDefault="0074003B" w:rsidP="008F24F3">
      <w:r>
        <w:separator/>
      </w:r>
    </w:p>
  </w:footnote>
  <w:footnote w:type="continuationSeparator" w:id="0">
    <w:p w14:paraId="16D87F91" w14:textId="77777777" w:rsidR="0074003B" w:rsidRDefault="0074003B" w:rsidP="008F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2" w15:restartNumberingAfterBreak="0">
    <w:nsid w:val="57036E22"/>
    <w:multiLevelType w:val="singleLevel"/>
    <w:tmpl w:val="57036E22"/>
    <w:lvl w:ilvl="0">
      <w:start w:val="1"/>
      <w:numFmt w:val="chineseCounting"/>
      <w:suff w:val="nothing"/>
      <w:lvlText w:val="%1、"/>
      <w:lvlJc w:val="left"/>
    </w:lvl>
  </w:abstractNum>
  <w:num w:numId="1" w16cid:durableId="670988801">
    <w:abstractNumId w:val="2"/>
  </w:num>
  <w:num w:numId="2" w16cid:durableId="2111535989">
    <w:abstractNumId w:val="0"/>
  </w:num>
  <w:num w:numId="3" w16cid:durableId="13236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567"/>
    <w:rsid w:val="00057160"/>
    <w:rsid w:val="001230A1"/>
    <w:rsid w:val="00126D3D"/>
    <w:rsid w:val="001C2DAC"/>
    <w:rsid w:val="002457A7"/>
    <w:rsid w:val="00256767"/>
    <w:rsid w:val="003F3060"/>
    <w:rsid w:val="00435049"/>
    <w:rsid w:val="004A1A7F"/>
    <w:rsid w:val="004D5940"/>
    <w:rsid w:val="004E230E"/>
    <w:rsid w:val="0054270D"/>
    <w:rsid w:val="00636777"/>
    <w:rsid w:val="00680251"/>
    <w:rsid w:val="006929CB"/>
    <w:rsid w:val="0074003B"/>
    <w:rsid w:val="00857567"/>
    <w:rsid w:val="00882E6E"/>
    <w:rsid w:val="008F24F3"/>
    <w:rsid w:val="00900723"/>
    <w:rsid w:val="0090666D"/>
    <w:rsid w:val="00997B18"/>
    <w:rsid w:val="00A620E5"/>
    <w:rsid w:val="00BE2142"/>
    <w:rsid w:val="00BE4B91"/>
    <w:rsid w:val="00C10FE6"/>
    <w:rsid w:val="00C73D27"/>
    <w:rsid w:val="00CD3EFF"/>
    <w:rsid w:val="00DF1F8A"/>
    <w:rsid w:val="00DF3F18"/>
    <w:rsid w:val="00E73005"/>
    <w:rsid w:val="00EC4905"/>
    <w:rsid w:val="00EE5710"/>
    <w:rsid w:val="00FE007C"/>
    <w:rsid w:val="0AFA6DB7"/>
    <w:rsid w:val="0E9D10FA"/>
    <w:rsid w:val="145D5F46"/>
    <w:rsid w:val="14F77DF3"/>
    <w:rsid w:val="15903400"/>
    <w:rsid w:val="16FD6894"/>
    <w:rsid w:val="1BD14425"/>
    <w:rsid w:val="22640CDB"/>
    <w:rsid w:val="28EF1EB8"/>
    <w:rsid w:val="486F305A"/>
    <w:rsid w:val="570102E7"/>
    <w:rsid w:val="588415F4"/>
    <w:rsid w:val="643C35E5"/>
    <w:rsid w:val="68AB1648"/>
    <w:rsid w:val="6E3E61A3"/>
    <w:rsid w:val="70C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7FE1F"/>
  <w15:docId w15:val="{CD3F71EA-8D39-43A6-A742-C19E38F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F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F24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F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F24F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80251"/>
    <w:rPr>
      <w:color w:val="605E5C"/>
      <w:shd w:val="clear" w:color="auto" w:fill="E1DFDD"/>
    </w:rPr>
  </w:style>
  <w:style w:type="character" w:styleId="ab">
    <w:name w:val="FollowedHyperlink"/>
    <w:basedOn w:val="a0"/>
    <w:rsid w:val="00EE5710"/>
    <w:rPr>
      <w:color w:val="954F72" w:themeColor="followedHyperlink"/>
      <w:u w:val="single"/>
    </w:rPr>
  </w:style>
  <w:style w:type="paragraph" w:customStyle="1" w:styleId="ac">
    <w:name w:val="二级标题"/>
    <w:basedOn w:val="a"/>
    <w:next w:val="a"/>
    <w:qFormat/>
    <w:rsid w:val="004A1A7F"/>
    <w:pPr>
      <w:snapToGrid w:val="0"/>
      <w:spacing w:line="360" w:lineRule="auto"/>
    </w:pPr>
    <w:rPr>
      <w:rFonts w:ascii="Times New Roman" w:eastAsia="宋体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0729</dc:creator>
  <cp:lastModifiedBy>jiangna guo</cp:lastModifiedBy>
  <cp:revision>22</cp:revision>
  <dcterms:created xsi:type="dcterms:W3CDTF">2021-05-14T01:35:00Z</dcterms:created>
  <dcterms:modified xsi:type="dcterms:W3CDTF">2023-11-21T05:45:00Z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